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DC3A7A" w:rsidRDefault="00000000">
      <w:pPr>
        <w:rPr>
          <w:rFonts w:ascii="Arial" w:hAnsi="Arial"/>
          <w:b/>
          <w:color w:val="000000" w:themeColor="text1"/>
          <w:sz w:val="28"/>
          <w:bdr w:val="none" w:sz="0" w:space="0" w:color="auto" w:frame="1"/>
        </w:rPr>
      </w:pPr>
      <w:r>
        <w:rPr>
          <w:rFonts w:ascii="Calibri" w:hAnsi="Calibri"/>
          <w:sz w:val="52"/>
        </w:rPr>
        <w:t>Communiqué de presse</w:t>
      </w:r>
    </w:p>
    <w:p w14:paraId="16383BF3" w14:textId="77777777" w:rsidR="004330C6" w:rsidRPr="00DC3A7A" w:rsidRDefault="004330C6" w:rsidP="003817D3">
      <w:pPr>
        <w:rPr>
          <w:rFonts w:ascii="Arial" w:hAnsi="Arial"/>
          <w:b/>
          <w:color w:val="000000" w:themeColor="text1"/>
          <w:sz w:val="28"/>
          <w:bdr w:val="none" w:sz="0" w:space="0" w:color="auto" w:frame="1"/>
        </w:rPr>
      </w:pPr>
    </w:p>
    <w:p w14:paraId="0660A2A3" w14:textId="77777777" w:rsidR="004330C6" w:rsidRPr="00DC3A7A" w:rsidRDefault="004330C6" w:rsidP="003817D3">
      <w:pPr>
        <w:rPr>
          <w:rFonts w:ascii="Arial" w:hAnsi="Arial"/>
          <w:b/>
          <w:color w:val="000000" w:themeColor="text1"/>
          <w:sz w:val="28"/>
          <w:bdr w:val="none" w:sz="0" w:space="0" w:color="auto" w:frame="1"/>
        </w:rPr>
      </w:pPr>
    </w:p>
    <w:p w14:paraId="744BD426" w14:textId="6A5F35B3" w:rsidR="001A0027" w:rsidRPr="00DC3A7A" w:rsidRDefault="009A060D" w:rsidP="002F3208">
      <w:pPr>
        <w:pStyle w:val="xmsonormal"/>
        <w:spacing w:before="0" w:beforeAutospacing="0" w:after="0" w:afterAutospacing="0"/>
        <w:textAlignment w:val="baseline"/>
        <w:rPr>
          <w:rFonts w:asciiTheme="minorHAnsi" w:hAnsiTheme="minorHAnsi" w:cstheme="minorHAnsi"/>
          <w:b/>
          <w:bCs/>
          <w:color w:val="000000"/>
          <w:sz w:val="44"/>
          <w:szCs w:val="44"/>
        </w:rPr>
      </w:pPr>
      <w:r>
        <w:rPr>
          <w:rFonts w:ascii="Calibri" w:hAnsi="Calibri"/>
          <w:b/>
          <w:color w:val="000000"/>
          <w:sz w:val="44"/>
        </w:rPr>
        <w:t>Nouveau look et innovations : Cameo à l’ISE 2025</w:t>
      </w:r>
    </w:p>
    <w:p w14:paraId="72D1B8ED" w14:textId="77777777" w:rsidR="002A4CB3" w:rsidRPr="00DC3A7A" w:rsidRDefault="002A4CB3" w:rsidP="002A4CB3">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p>
    <w:p w14:paraId="2F3006D0" w14:textId="69DEA9BC" w:rsidR="00383FE3" w:rsidRPr="00720969" w:rsidRDefault="00000000" w:rsidP="00761A74">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r>
        <w:rPr>
          <w:rStyle w:val="Fett"/>
          <w:rFonts w:ascii="Calibri" w:hAnsi="Calibri"/>
          <w:color w:val="000000" w:themeColor="text1"/>
          <w:sz w:val="22"/>
          <w:bdr w:val="none" w:sz="0" w:space="0" w:color="auto" w:frame="1"/>
        </w:rPr>
        <w:t>Neu-Anspach, Allemagne, 22 janvier 2025 – Du 4 au 7 février, Cameo, la marque de technique d’éclairage d’Adam Hall Group, présentera ses nouveaux produits phares au salon Integrated Systems Europe (ISE) 2025. Sur son stand </w:t>
      </w:r>
      <w:r w:rsidR="00355FB1" w:rsidRPr="00720969">
        <w:rPr>
          <w:rFonts w:ascii="Calibri" w:hAnsi="Calibri"/>
          <w:b/>
          <w:bCs/>
          <w:color w:val="000000" w:themeColor="text1"/>
          <w:kern w:val="1"/>
          <w:sz w:val="22"/>
          <w:szCs w:val="22"/>
        </w:rPr>
        <w:t xml:space="preserve">6M350 </w:t>
      </w:r>
      <w:r>
        <w:rPr>
          <w:rFonts w:ascii="Calibri" w:hAnsi="Calibri"/>
          <w:b/>
          <w:color w:val="000000"/>
          <w:sz w:val="22"/>
        </w:rPr>
        <w:t>dans le hall 6 (« Lighting &amp; Staging », dédié à l’éclairage et à la mise en scène)</w:t>
      </w:r>
      <w:r>
        <w:rPr>
          <w:rStyle w:val="Fett"/>
          <w:rFonts w:ascii="Calibri" w:hAnsi="Calibri"/>
          <w:color w:val="000000" w:themeColor="text1"/>
          <w:sz w:val="22"/>
          <w:bdr w:val="none" w:sz="0" w:space="0" w:color="auto" w:frame="1"/>
        </w:rPr>
        <w:t xml:space="preserve">, les visiteurs découvriront non seulement le nouveau look de la marque Cameo, mais aussi un mélange innovant de solutions d’éclairage pour l’événementiel et le théâtre. Outre l’ORON H2, un modèle IP65 révolutionnaire de lyre asservie hybride avec source laser phosphore, et la lyre asservie compacte AZOR SP2 IP Spot Profile IP65, Cameo présente également le tout nouveau </w:t>
      </w:r>
      <w:r>
        <w:rPr>
          <w:rFonts w:ascii="Calibri" w:hAnsi="Calibri"/>
          <w:b/>
          <w:sz w:val="22"/>
          <w:shd w:val="clear" w:color="auto" w:fill="FFFFFF"/>
        </w:rPr>
        <w:t>P6, un projecteur découpe à LED couleurs pleines.</w:t>
      </w:r>
    </w:p>
    <w:p w14:paraId="2799213A" w14:textId="77777777" w:rsidR="0068440C" w:rsidRPr="009A060D" w:rsidRDefault="0068440C" w:rsidP="0068440C">
      <w:pPr>
        <w:pStyle w:val="StandardWeb"/>
        <w:spacing w:before="0" w:beforeAutospacing="0" w:after="0" w:afterAutospacing="0"/>
        <w:rPr>
          <w:rFonts w:asciiTheme="minorHAnsi" w:hAnsiTheme="minorHAnsi" w:cstheme="minorHAnsi"/>
          <w:color w:val="000000"/>
          <w:sz w:val="22"/>
          <w:szCs w:val="22"/>
        </w:rPr>
      </w:pPr>
    </w:p>
    <w:p w14:paraId="5D7EBDBD" w14:textId="1E228A3C" w:rsidR="009D68F4" w:rsidRPr="000147DC" w:rsidRDefault="009D68F4" w:rsidP="0068440C">
      <w:pPr>
        <w:pStyle w:val="StandardWeb"/>
        <w:spacing w:before="0" w:beforeAutospacing="0" w:after="0" w:afterAutospacing="0"/>
        <w:rPr>
          <w:rFonts w:asciiTheme="minorHAnsi" w:hAnsiTheme="minorHAnsi" w:cstheme="minorHAnsi"/>
          <w:b/>
          <w:bCs/>
          <w:color w:val="000000"/>
          <w:sz w:val="22"/>
          <w:szCs w:val="22"/>
        </w:rPr>
      </w:pPr>
      <w:r>
        <w:rPr>
          <w:rFonts w:asciiTheme="minorHAnsi" w:hAnsiTheme="minorHAnsi"/>
          <w:b/>
          <w:color w:val="000000"/>
          <w:sz w:val="22"/>
        </w:rPr>
        <w:t xml:space="preserve">P6 </w:t>
      </w:r>
    </w:p>
    <w:p w14:paraId="20967B3D" w14:textId="39453BC9" w:rsidR="00F17B78" w:rsidRPr="00F17B78" w:rsidRDefault="00EB67F1" w:rsidP="00F17B78">
      <w:pPr>
        <w:rPr>
          <w:rFonts w:ascii="Calibri" w:hAnsi="Calibri" w:cs="Calibri"/>
          <w:sz w:val="22"/>
          <w:szCs w:val="22"/>
        </w:rPr>
      </w:pPr>
      <w:r>
        <w:rPr>
          <w:rFonts w:asciiTheme="minorHAnsi" w:hAnsiTheme="minorHAnsi"/>
          <w:color w:val="000000"/>
          <w:sz w:val="22"/>
        </w:rPr>
        <w:t>Le nouveau P6 est le projecteur découpe à LED le plus puissant de la série P de Cameo et s’adresse aux utilisateurs du</w:t>
      </w:r>
      <w:r>
        <w:rPr>
          <w:rFonts w:ascii="Calibri" w:hAnsi="Calibri"/>
          <w:sz w:val="22"/>
        </w:rPr>
        <w:t xml:space="preserve"> théâtre professionnel, de la télévision et de l’événementiel. Il remplace les projecteurs découpe traditionnels halogène de 2,5 kW et éclaire les personnes et les objets avec précision et naturelle grâce à des valeurs IRC </w:t>
      </w:r>
      <w:r>
        <w:rPr>
          <w:rFonts w:asciiTheme="minorHAnsi" w:hAnsiTheme="minorHAnsi"/>
          <w:color w:val="000000"/>
          <w:sz w:val="22"/>
        </w:rPr>
        <w:t>(&gt; 95 Ra) et TLCI (&gt; 91) élevées. Outre son mélange de couleurs pleines, le P6 FC permet également le réglage progressif de la température chromatique dans une plage comprise entre 2 700 et 8 000 K.</w:t>
      </w:r>
    </w:p>
    <w:p w14:paraId="5F276769" w14:textId="77777777" w:rsidR="009D68F4" w:rsidRPr="00EB67F1" w:rsidRDefault="009D68F4" w:rsidP="0068440C">
      <w:pPr>
        <w:pStyle w:val="StandardWeb"/>
        <w:spacing w:before="0" w:beforeAutospacing="0" w:after="0" w:afterAutospacing="0"/>
        <w:rPr>
          <w:rFonts w:asciiTheme="minorHAnsi" w:hAnsiTheme="minorHAnsi" w:cstheme="minorHAnsi"/>
          <w:color w:val="000000"/>
          <w:sz w:val="22"/>
          <w:szCs w:val="22"/>
        </w:rPr>
      </w:pPr>
    </w:p>
    <w:p w14:paraId="57758D42" w14:textId="5DF4730D" w:rsidR="009D68F4" w:rsidRPr="00914443" w:rsidRDefault="009D68F4" w:rsidP="0068440C">
      <w:pPr>
        <w:pStyle w:val="StandardWeb"/>
        <w:spacing w:before="0" w:beforeAutospacing="0" w:after="0" w:afterAutospacing="0"/>
        <w:rPr>
          <w:rFonts w:asciiTheme="minorHAnsi" w:hAnsiTheme="minorHAnsi" w:cstheme="minorHAnsi"/>
          <w:b/>
          <w:bCs/>
          <w:color w:val="000000"/>
          <w:sz w:val="22"/>
          <w:szCs w:val="22"/>
        </w:rPr>
      </w:pPr>
      <w:r>
        <w:rPr>
          <w:rFonts w:asciiTheme="minorHAnsi" w:hAnsiTheme="minorHAnsi"/>
          <w:b/>
          <w:color w:val="000000"/>
          <w:sz w:val="22"/>
        </w:rPr>
        <w:t>ORON H2</w:t>
      </w:r>
    </w:p>
    <w:p w14:paraId="045944A1" w14:textId="77777777" w:rsidR="00914443" w:rsidRDefault="00914443" w:rsidP="00914443">
      <w:pPr>
        <w:rPr>
          <w:rFonts w:ascii="Calibri" w:hAnsi="Calibri" w:cs="Calibri"/>
          <w:sz w:val="22"/>
          <w:szCs w:val="22"/>
        </w:rPr>
      </w:pPr>
      <w:r>
        <w:rPr>
          <w:rFonts w:ascii="Calibri" w:hAnsi="Calibri"/>
          <w:sz w:val="22"/>
        </w:rPr>
        <w:t xml:space="preserve">L’ORON H2 est la première lyre asservie hybride d’indice IP65 au monde équipée d’une source laser phosphore. Elle impressionne par sa considérable puissance lumineuse de 330 000 lux à 20 mètres de distance et par son angle de faisceau minimal extrêmement étroit de 0,6°. Néanmoins, grâce à sa plage de zoom comprise entre 0,6° et 32°, l’ORON H2 peut également s’utiliser comme spot ou servir à d’autres applications d’éclairage. </w:t>
      </w:r>
    </w:p>
    <w:p w14:paraId="6FAA7E12" w14:textId="77777777" w:rsidR="00914443" w:rsidRDefault="00914443" w:rsidP="00914443">
      <w:pPr>
        <w:rPr>
          <w:rFonts w:ascii="Calibri" w:hAnsi="Calibri" w:cs="Calibri"/>
          <w:sz w:val="22"/>
          <w:szCs w:val="22"/>
        </w:rPr>
      </w:pPr>
    </w:p>
    <w:p w14:paraId="7AB37178" w14:textId="77777777" w:rsidR="00914443" w:rsidRDefault="00914443" w:rsidP="00914443">
      <w:pPr>
        <w:rPr>
          <w:rFonts w:ascii="Calibri" w:hAnsi="Calibri" w:cs="Calibri"/>
          <w:b/>
          <w:sz w:val="22"/>
          <w:szCs w:val="22"/>
        </w:rPr>
      </w:pPr>
      <w:r>
        <w:rPr>
          <w:rFonts w:ascii="Calibri" w:hAnsi="Calibri"/>
          <w:b/>
          <w:sz w:val="22"/>
        </w:rPr>
        <w:t>OPUS X4 PROFILE</w:t>
      </w:r>
    </w:p>
    <w:p w14:paraId="51150F3D" w14:textId="77777777" w:rsidR="00914443" w:rsidRPr="005C44D3" w:rsidRDefault="00914443" w:rsidP="00914443">
      <w:pPr>
        <w:rPr>
          <w:rFonts w:ascii="Calibri" w:hAnsi="Calibri" w:cs="Calibri"/>
          <w:b/>
          <w:sz w:val="22"/>
          <w:szCs w:val="22"/>
        </w:rPr>
      </w:pPr>
      <w:r>
        <w:rPr>
          <w:rFonts w:ascii="Calibri" w:hAnsi="Calibri"/>
          <w:sz w:val="22"/>
        </w:rPr>
        <w:t>L’OPUS X4 PROFILE est la lyre asservie la plus puissante que Cameo ait jamais développée à ce jour. Avec son moteur LED de 1 400 watts, le modèle Spot Profile génère un impressionnant flux lumineux de 50 000 lm, tout en étant à peine plus grand que son petit frère l’OPUS X PROFILE. En outre, l’OPUS X4 séduit par son énorme plage de zoom (5° – 55°) et ses quatre lames de cadrage avec une rotation de +/- 60° pour des découpes précises et plus encore.</w:t>
      </w:r>
    </w:p>
    <w:p w14:paraId="0FA42A52" w14:textId="77777777" w:rsidR="009D68F4" w:rsidRPr="00914443" w:rsidRDefault="009D68F4" w:rsidP="0068440C">
      <w:pPr>
        <w:pStyle w:val="StandardWeb"/>
        <w:spacing w:before="0" w:beforeAutospacing="0" w:after="0" w:afterAutospacing="0"/>
        <w:rPr>
          <w:rFonts w:asciiTheme="minorHAnsi" w:hAnsiTheme="minorHAnsi" w:cstheme="minorHAnsi"/>
          <w:color w:val="000000"/>
          <w:sz w:val="22"/>
          <w:szCs w:val="22"/>
        </w:rPr>
      </w:pPr>
    </w:p>
    <w:p w14:paraId="03F88ACC" w14:textId="11C0A09D" w:rsidR="00804690" w:rsidRPr="00C50F6F" w:rsidRDefault="00DA223F" w:rsidP="00761A74">
      <w:pPr>
        <w:rPr>
          <w:rFonts w:ascii="Calibri" w:eastAsia="Tahoma" w:hAnsi="Calibri" w:cs="Calibri"/>
          <w:b/>
          <w:bCs/>
          <w:color w:val="000000" w:themeColor="text1"/>
          <w:kern w:val="1"/>
          <w:sz w:val="22"/>
          <w:szCs w:val="22"/>
        </w:rPr>
      </w:pPr>
      <w:r>
        <w:rPr>
          <w:rFonts w:ascii="Calibri" w:hAnsi="Calibri"/>
          <w:b/>
          <w:color w:val="000000" w:themeColor="text1"/>
          <w:kern w:val="1"/>
          <w:sz w:val="22"/>
        </w:rPr>
        <w:t>AZOR SP2 IP</w:t>
      </w:r>
    </w:p>
    <w:p w14:paraId="2030D743" w14:textId="739E136D" w:rsidR="00DA223F" w:rsidRPr="00DC3A7A" w:rsidRDefault="005C3B7F" w:rsidP="00804690">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Depuis de nombreuses années, les lyres asservies de la série AZOR séduisent par leur caractère compact, leur polyvalence et leurs systèmes optiques alliant efficacité supérieure et qualité de pointe. L’AZOR SP2 IP est </w:t>
      </w:r>
      <w:r>
        <w:rPr>
          <w:rFonts w:ascii="Calibri" w:hAnsi="Calibri"/>
          <w:color w:val="0D0D0D" w:themeColor="text1" w:themeTint="F2"/>
          <w:sz w:val="22"/>
          <w:bdr w:val="none" w:sz="0" w:space="0" w:color="auto" w:frame="1"/>
        </w:rPr>
        <w:t xml:space="preserve">la dernière nouveauté de la série : une lyre asservie compacte Spot Profile </w:t>
      </w:r>
      <w:r>
        <w:rPr>
          <w:rFonts w:ascii="Calibri" w:hAnsi="Calibri"/>
          <w:color w:val="000000" w:themeColor="text1"/>
          <w:kern w:val="1"/>
          <w:sz w:val="22"/>
        </w:rPr>
        <w:t>équipée d’une source lumineuse LED de 300 W, une grande plage de zoom allant de 3° à 50° et des lames de cadrage motorisées… Le tout désormais disponible en version IP65 pour une utilisation en extérieur.</w:t>
      </w:r>
    </w:p>
    <w:p w14:paraId="166E186E" w14:textId="77777777" w:rsidR="00E15D0A" w:rsidRPr="00DC3A7A" w:rsidRDefault="00E15D0A" w:rsidP="00804690">
      <w:pPr>
        <w:rPr>
          <w:rFonts w:ascii="Calibri" w:hAnsi="Calibri" w:cs="Calibri"/>
          <w:sz w:val="22"/>
          <w:szCs w:val="22"/>
          <w:shd w:val="clear" w:color="auto" w:fill="FFFFFF"/>
        </w:rPr>
      </w:pPr>
    </w:p>
    <w:p w14:paraId="4554F7B0" w14:textId="77777777" w:rsidR="0001067E" w:rsidRPr="00DC3A7A" w:rsidRDefault="0001067E" w:rsidP="0001067E">
      <w:pPr>
        <w:rPr>
          <w:rFonts w:ascii="Calibri" w:hAnsi="Calibri" w:cs="Calibri"/>
          <w:b/>
          <w:bCs/>
          <w:sz w:val="22"/>
          <w:szCs w:val="22"/>
        </w:rPr>
      </w:pPr>
      <w:r>
        <w:rPr>
          <w:rFonts w:ascii="Calibri" w:hAnsi="Calibri"/>
          <w:b/>
          <w:sz w:val="22"/>
        </w:rPr>
        <w:lastRenderedPageBreak/>
        <w:t>Vue d’ensemble des autres produits phares de Cameo :</w:t>
      </w:r>
    </w:p>
    <w:p w14:paraId="67AF045C" w14:textId="77777777" w:rsidR="0001067E" w:rsidRPr="00DC3A7A" w:rsidRDefault="0001067E" w:rsidP="0001067E">
      <w:pPr>
        <w:rPr>
          <w:rFonts w:ascii="Calibri" w:hAnsi="Calibri" w:cs="Calibri"/>
          <w:b/>
          <w:bCs/>
          <w:sz w:val="22"/>
          <w:szCs w:val="22"/>
        </w:rPr>
      </w:pPr>
    </w:p>
    <w:p w14:paraId="60C90C2A" w14:textId="18D83F1C" w:rsidR="009D68F4" w:rsidRPr="008C6DF7" w:rsidRDefault="009D68F4" w:rsidP="009D68F4">
      <w:pPr>
        <w:pStyle w:val="StandardWeb"/>
        <w:spacing w:before="0" w:beforeAutospacing="0" w:after="0" w:afterAutospacing="0"/>
        <w:rPr>
          <w:rFonts w:asciiTheme="minorHAnsi" w:hAnsiTheme="minorHAnsi" w:cstheme="minorHAnsi"/>
          <w:color w:val="000000"/>
          <w:sz w:val="22"/>
          <w:szCs w:val="22"/>
        </w:rPr>
      </w:pPr>
      <w:r>
        <w:rPr>
          <w:rFonts w:asciiTheme="minorHAnsi" w:hAnsiTheme="minorHAnsi"/>
          <w:b/>
          <w:color w:val="000000"/>
          <w:sz w:val="22"/>
        </w:rPr>
        <w:t>ROOT BAR –</w:t>
      </w:r>
      <w:r>
        <w:rPr>
          <w:rFonts w:asciiTheme="minorHAnsi" w:hAnsiTheme="minorHAnsi"/>
          <w:color w:val="000000"/>
          <w:sz w:val="22"/>
        </w:rPr>
        <w:t xml:space="preserve"> Les barres à LED ROOT BAR sont disponibles en trois versions (RGBAW+UV, SMD, Battery). Leur conception compacte en fait la solution idéale pour un éclairage linéaire créatif dans les clubs, les bars, les salles d’événement, etc.</w:t>
      </w:r>
    </w:p>
    <w:p w14:paraId="1772A997" w14:textId="199BCDC7" w:rsidR="009D68F4" w:rsidRPr="00C42900" w:rsidRDefault="009D68F4" w:rsidP="009D68F4">
      <w:pPr>
        <w:pStyle w:val="StandardWeb"/>
        <w:spacing w:before="0" w:beforeAutospacing="0" w:after="0" w:afterAutospacing="0"/>
        <w:rPr>
          <w:rFonts w:asciiTheme="minorHAnsi" w:hAnsiTheme="minorHAnsi" w:cstheme="minorHAnsi"/>
          <w:color w:val="000000"/>
          <w:sz w:val="22"/>
          <w:szCs w:val="22"/>
        </w:rPr>
      </w:pPr>
      <w:r>
        <w:rPr>
          <w:rFonts w:asciiTheme="minorHAnsi" w:hAnsiTheme="minorHAnsi"/>
          <w:b/>
          <w:color w:val="000000"/>
          <w:sz w:val="22"/>
        </w:rPr>
        <w:t>ROOT PAR IP –</w:t>
      </w:r>
      <w:r>
        <w:rPr>
          <w:rFonts w:asciiTheme="minorHAnsi" w:hAnsiTheme="minorHAnsi"/>
          <w:color w:val="000000"/>
          <w:sz w:val="22"/>
        </w:rPr>
        <w:t xml:space="preserve"> Résistant aux intempéries, le ROOT PAR IP est un projecteur LED robuste équipé de 7 modules LED RGBW de 8 W. Il est spécialement conçu pour des applications en extérieur.</w:t>
      </w:r>
    </w:p>
    <w:p w14:paraId="1F8A1ABD" w14:textId="4ECA13CD" w:rsidR="009D68F4" w:rsidRPr="006504D8" w:rsidRDefault="009D68F4" w:rsidP="009D68F4">
      <w:pPr>
        <w:pStyle w:val="StandardWeb"/>
        <w:spacing w:before="0" w:beforeAutospacing="0" w:after="0" w:afterAutospacing="0"/>
        <w:rPr>
          <w:rFonts w:ascii="Calibri" w:hAnsi="Calibri" w:cs="Calibri"/>
          <w:color w:val="000000"/>
          <w:sz w:val="22"/>
          <w:szCs w:val="22"/>
        </w:rPr>
      </w:pPr>
      <w:r>
        <w:rPr>
          <w:rFonts w:asciiTheme="minorHAnsi" w:hAnsiTheme="minorHAnsi"/>
          <w:b/>
          <w:color w:val="000000"/>
          <w:sz w:val="22"/>
        </w:rPr>
        <w:t>PIXBAR Short IP G2 –</w:t>
      </w:r>
      <w:r>
        <w:rPr>
          <w:rFonts w:ascii="Calibri" w:hAnsi="Calibri"/>
          <w:sz w:val="22"/>
        </w:rPr>
        <w:t xml:space="preserve"> Ces barres à LED IP65 sont équipées d’un système de connexion innovant permettant de réaliser facilement des conceptions lumineuses créatives grâce à des possibilités d’installation aussi bien à la verticale qu’à l’horizontale, suspendues à une traverse ou debout sur une plaque de base. Elles sont désormais disponibles en version courte d’un demi-mètre.</w:t>
      </w:r>
    </w:p>
    <w:p w14:paraId="766E6AF5" w14:textId="3248C2F6" w:rsidR="009D68F4" w:rsidRPr="006504D8" w:rsidRDefault="009D68F4" w:rsidP="009D68F4">
      <w:pPr>
        <w:pStyle w:val="StandardWeb"/>
        <w:spacing w:before="0" w:beforeAutospacing="0" w:after="0" w:afterAutospacing="0"/>
        <w:rPr>
          <w:rFonts w:ascii="Calibri" w:hAnsi="Calibri" w:cs="Calibri"/>
          <w:color w:val="000000"/>
          <w:sz w:val="22"/>
          <w:szCs w:val="22"/>
        </w:rPr>
      </w:pPr>
      <w:r>
        <w:rPr>
          <w:rFonts w:ascii="Calibri" w:hAnsi="Calibri"/>
          <w:b/>
          <w:color w:val="000000"/>
          <w:sz w:val="22"/>
        </w:rPr>
        <w:t>INSTANT AIR 3000 –</w:t>
      </w:r>
      <w:r>
        <w:rPr>
          <w:rFonts w:ascii="Calibri" w:hAnsi="Calibri"/>
          <w:color w:val="000000"/>
          <w:sz w:val="22"/>
        </w:rPr>
        <w:t xml:space="preserve"> Machine à vent à débit (jusqu’à 77 m³ par minute) et orientation réglables.</w:t>
      </w:r>
    </w:p>
    <w:p w14:paraId="5F852598" w14:textId="2F668D3E" w:rsidR="002D3D0F" w:rsidRPr="006504D8" w:rsidRDefault="009D68F4" w:rsidP="009D68F4">
      <w:pPr>
        <w:pStyle w:val="StandardWeb"/>
        <w:spacing w:before="0" w:beforeAutospacing="0" w:after="0" w:afterAutospacing="0"/>
        <w:rPr>
          <w:rFonts w:ascii="Calibri" w:hAnsi="Calibri" w:cs="Calibri"/>
          <w:color w:val="000000"/>
          <w:sz w:val="22"/>
          <w:szCs w:val="22"/>
        </w:rPr>
      </w:pPr>
      <w:r>
        <w:rPr>
          <w:rFonts w:ascii="Calibri" w:hAnsi="Calibri"/>
          <w:b/>
          <w:color w:val="000000"/>
          <w:sz w:val="22"/>
        </w:rPr>
        <w:t>INSTANT HAZE 1400/1500 G2 –</w:t>
      </w:r>
      <w:r>
        <w:rPr>
          <w:rFonts w:ascii="Calibri" w:hAnsi="Calibri"/>
          <w:color w:val="000000"/>
          <w:sz w:val="22"/>
        </w:rPr>
        <w:t xml:space="preserve"> Puissante machine à brouillard avec pilotage par microprocesseur.</w:t>
      </w:r>
    </w:p>
    <w:p w14:paraId="51FA1B89" w14:textId="77777777" w:rsidR="009D68F4" w:rsidRPr="006504D8" w:rsidRDefault="009D68F4" w:rsidP="009D68F4">
      <w:pPr>
        <w:pStyle w:val="StandardWeb"/>
        <w:spacing w:before="0" w:beforeAutospacing="0" w:after="0" w:afterAutospacing="0"/>
        <w:rPr>
          <w:rFonts w:ascii="Calibri" w:hAnsi="Calibri" w:cs="Calibri"/>
          <w:color w:val="000000"/>
          <w:sz w:val="22"/>
          <w:szCs w:val="22"/>
        </w:rPr>
      </w:pPr>
    </w:p>
    <w:p w14:paraId="02FF3EED" w14:textId="2EA7FF0D" w:rsidR="009D68F4" w:rsidRPr="006504D8" w:rsidRDefault="00101A3F" w:rsidP="009D68F4">
      <w:pPr>
        <w:pStyle w:val="StandardWeb"/>
        <w:spacing w:before="0" w:beforeAutospacing="0" w:after="0" w:afterAutospacing="0"/>
        <w:rPr>
          <w:rFonts w:ascii="Calibri" w:hAnsi="Calibri" w:cs="Calibri"/>
          <w:b/>
          <w:bCs/>
          <w:color w:val="000000"/>
          <w:sz w:val="22"/>
          <w:szCs w:val="22"/>
        </w:rPr>
      </w:pPr>
      <w:r>
        <w:rPr>
          <w:rFonts w:ascii="Calibri" w:hAnsi="Calibri"/>
          <w:b/>
          <w:color w:val="000000"/>
          <w:sz w:val="22"/>
        </w:rPr>
        <w:t>L’éclairage pour vos installations fixes : Adam Hall Integrated Systems</w:t>
      </w:r>
    </w:p>
    <w:p w14:paraId="151DA9A5" w14:textId="64EAA06C" w:rsidR="009D68F4" w:rsidRPr="006504D8" w:rsidRDefault="007310CF" w:rsidP="009D68F4">
      <w:pPr>
        <w:pStyle w:val="StandardWeb"/>
        <w:spacing w:before="0" w:beforeAutospacing="0" w:after="0" w:afterAutospacing="0"/>
        <w:rPr>
          <w:rFonts w:ascii="Calibri" w:hAnsi="Calibri" w:cs="Calibri"/>
          <w:color w:val="000000"/>
          <w:sz w:val="22"/>
          <w:szCs w:val="22"/>
        </w:rPr>
      </w:pPr>
      <w:r>
        <w:rPr>
          <w:rFonts w:ascii="Calibri" w:hAnsi="Calibri"/>
          <w:color w:val="000000"/>
          <w:sz w:val="22"/>
        </w:rPr>
        <w:t>Le stand d’Adam Hall Integrated Systems (stand 7B550, hall 7) expose aussi différentes solutions d’éclairage. Ici, l’accent est entièrement mis sur les applications dans les installations fixes et l’éclairage architectural, mais s’étend aussi à la planification et au pilotage combinés de la lumière et de l’audio via QUESTRA, un logiciel centralisé de conception et de gestion. Spécialement pour ces utilisations, Cameo présentera entre autres ses spots RGBW certifiés IP67 et ses barres lumineuses de la série DURA sur le stand d’Adam Hall Integrated Systems.</w:t>
      </w:r>
    </w:p>
    <w:p w14:paraId="38A93B93" w14:textId="77777777" w:rsidR="00101A3F" w:rsidRPr="006504D8" w:rsidRDefault="00101A3F" w:rsidP="009D68F4">
      <w:pPr>
        <w:pStyle w:val="StandardWeb"/>
        <w:spacing w:before="0" w:beforeAutospacing="0" w:after="0" w:afterAutospacing="0"/>
        <w:rPr>
          <w:rFonts w:ascii="Calibri" w:hAnsi="Calibri" w:cs="Calibri"/>
          <w:color w:val="000000"/>
          <w:sz w:val="22"/>
          <w:szCs w:val="22"/>
        </w:rPr>
      </w:pPr>
    </w:p>
    <w:p w14:paraId="1D59F540" w14:textId="1F3FBD09" w:rsidR="0098161B" w:rsidRPr="006504D8" w:rsidRDefault="00B03D25" w:rsidP="009D68F4">
      <w:pPr>
        <w:pStyle w:val="StandardWeb"/>
        <w:spacing w:before="0" w:beforeAutospacing="0" w:after="0" w:afterAutospacing="0"/>
        <w:rPr>
          <w:rFonts w:ascii="Calibri" w:hAnsi="Calibri" w:cs="Calibri"/>
          <w:b/>
          <w:bCs/>
          <w:color w:val="000000"/>
          <w:sz w:val="22"/>
          <w:szCs w:val="22"/>
        </w:rPr>
      </w:pPr>
      <w:r>
        <w:rPr>
          <w:rFonts w:ascii="Calibri" w:hAnsi="Calibri"/>
          <w:b/>
          <w:color w:val="000000"/>
          <w:sz w:val="22"/>
        </w:rPr>
        <w:t>Navettes gratuites vers le showroom</w:t>
      </w:r>
    </w:p>
    <w:p w14:paraId="2A5CA92B" w14:textId="2E3377B3" w:rsidR="00E8374C" w:rsidRPr="006504D8" w:rsidRDefault="00E8374C" w:rsidP="009D68F4">
      <w:pPr>
        <w:pStyle w:val="StandardWeb"/>
        <w:spacing w:before="0" w:beforeAutospacing="0" w:after="0" w:afterAutospacing="0"/>
        <w:rPr>
          <w:rFonts w:ascii="Calibri" w:hAnsi="Calibri" w:cs="Calibri"/>
          <w:color w:val="000000"/>
          <w:sz w:val="22"/>
          <w:szCs w:val="22"/>
        </w:rPr>
      </w:pPr>
      <w:r>
        <w:rPr>
          <w:rFonts w:ascii="Calibri" w:hAnsi="Calibri"/>
          <w:color w:val="000000"/>
          <w:sz w:val="22"/>
        </w:rPr>
        <w:t>Cette année encore, Cameo propose un service de navette gratuit qui fera à intervalles réguliers le trajet entre le parc des expositions de l’ISE et le showroom d’Adam Hall à Barcelone. Les visiteurs trouveront toutes les informations concernant les horaires sur le stand de Cameo à l’ISE.</w:t>
      </w:r>
    </w:p>
    <w:p w14:paraId="1D10C8ED" w14:textId="77777777" w:rsidR="00101A3F" w:rsidRPr="006504D8" w:rsidRDefault="00101A3F" w:rsidP="009D68F4">
      <w:pPr>
        <w:pStyle w:val="ql-indent-1"/>
        <w:shd w:val="clear" w:color="auto" w:fill="FFFFFF"/>
        <w:spacing w:before="0" w:beforeAutospacing="0" w:after="0" w:afterAutospacing="0"/>
        <w:rPr>
          <w:rFonts w:ascii="Calibri" w:hAnsi="Calibri" w:cs="Calibri"/>
          <w:sz w:val="22"/>
          <w:szCs w:val="22"/>
        </w:rPr>
      </w:pPr>
    </w:p>
    <w:p w14:paraId="362CE9D5" w14:textId="30F7DA0D" w:rsidR="009D68F4" w:rsidRPr="006504D8" w:rsidRDefault="006504D8" w:rsidP="009D68F4">
      <w:pPr>
        <w:pStyle w:val="ql-indent-1"/>
        <w:shd w:val="clear" w:color="auto" w:fill="FFFFFF"/>
        <w:spacing w:before="0" w:beforeAutospacing="0" w:after="0" w:afterAutospacing="0"/>
        <w:rPr>
          <w:rFonts w:ascii="Calibri" w:hAnsi="Calibri" w:cs="Calibri"/>
          <w:sz w:val="22"/>
          <w:szCs w:val="22"/>
        </w:rPr>
      </w:pPr>
      <w:r>
        <w:rPr>
          <w:rFonts w:ascii="Calibri" w:hAnsi="Calibri"/>
          <w:sz w:val="22"/>
        </w:rPr>
        <w:t xml:space="preserve">Avec le code </w:t>
      </w:r>
      <w:r w:rsidR="009D68F4" w:rsidRPr="006504D8">
        <w:rPr>
          <w:rStyle w:val="Fett"/>
          <w:rFonts w:ascii="Calibri" w:hAnsi="Calibri"/>
          <w:sz w:val="22"/>
          <w:szCs w:val="22"/>
        </w:rPr>
        <w:t>J7WLWM9V</w:t>
      </w:r>
      <w:r>
        <w:rPr>
          <w:rFonts w:ascii="Calibri" w:hAnsi="Calibri"/>
          <w:sz w:val="22"/>
        </w:rPr>
        <w:t>, les personnes intéressées recevront une entrée gratuite pour l’ISE.</w:t>
      </w:r>
    </w:p>
    <w:p w14:paraId="2C700655" w14:textId="77777777" w:rsidR="00780A56" w:rsidRPr="00C50F6F" w:rsidRDefault="00780A56" w:rsidP="00804690">
      <w:pPr>
        <w:rPr>
          <w:rFonts w:ascii="Calibri" w:eastAsia="Tahoma" w:hAnsi="Calibri" w:cs="Calibri"/>
          <w:color w:val="000000" w:themeColor="text1"/>
          <w:kern w:val="1"/>
          <w:sz w:val="22"/>
          <w:szCs w:val="22"/>
        </w:rPr>
      </w:pPr>
    </w:p>
    <w:p w14:paraId="5D100BA0" w14:textId="6A66F11D" w:rsidR="00700A7A" w:rsidRPr="006504D8" w:rsidRDefault="004173E9" w:rsidP="00783C4C">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Les visiteurs de l’ISE 2025 trouveront plus d’informations sur les solutions d’éclairage de Cameo au </w:t>
      </w:r>
      <w:r w:rsidR="00700A7A" w:rsidRPr="006504D8">
        <w:rPr>
          <w:rFonts w:ascii="Calibri" w:hAnsi="Calibri"/>
          <w:b/>
          <w:bCs/>
          <w:color w:val="000000" w:themeColor="text1"/>
          <w:kern w:val="1"/>
          <w:sz w:val="22"/>
          <w:szCs w:val="22"/>
        </w:rPr>
        <w:t>stand 6M350, hall 6</w:t>
      </w:r>
      <w:r>
        <w:rPr>
          <w:rFonts w:ascii="Calibri" w:hAnsi="Calibri"/>
          <w:color w:val="000000" w:themeColor="text1"/>
          <w:kern w:val="1"/>
          <w:sz w:val="22"/>
        </w:rPr>
        <w:t>.</w:t>
      </w:r>
    </w:p>
    <w:p w14:paraId="5B1FA049" w14:textId="7B453838" w:rsidR="003D08B8" w:rsidRPr="006504D8" w:rsidRDefault="003D08B8" w:rsidP="001E4D60">
      <w:pPr>
        <w:pStyle w:val="StandardWeb"/>
        <w:spacing w:before="0" w:beforeAutospacing="0" w:after="0" w:afterAutospacing="0"/>
        <w:textAlignment w:val="baseline"/>
        <w:rPr>
          <w:rFonts w:ascii="Calibri" w:hAnsi="Calibri" w:cs="Calibri"/>
          <w:sz w:val="22"/>
          <w:szCs w:val="22"/>
        </w:rPr>
      </w:pPr>
    </w:p>
    <w:p w14:paraId="08C58093" w14:textId="12BF3F63" w:rsidR="004D6A05" w:rsidRPr="006504D8" w:rsidRDefault="00D47BC2">
      <w:pPr>
        <w:pStyle w:val="KeinLeerraum"/>
        <w:rPr>
          <w:rFonts w:ascii="Calibri" w:hAnsi="Calibri" w:cs="Calibri"/>
          <w:color w:val="0D0D0D" w:themeColor="text1" w:themeTint="F2"/>
          <w:sz w:val="22"/>
          <w:szCs w:val="22"/>
        </w:rPr>
      </w:pPr>
      <w:r>
        <w:rPr>
          <w:rFonts w:ascii="Calibri" w:hAnsi="Calibri"/>
          <w:color w:val="000000" w:themeColor="text1"/>
          <w:sz w:val="22"/>
        </w:rPr>
        <w:t xml:space="preserve">#AdamHallGroup #Cameo #ForLumenBeings </w:t>
      </w:r>
      <w:r>
        <w:rPr>
          <w:rFonts w:ascii="Calibri" w:hAnsi="Calibri"/>
          <w:color w:val="0D0D0D" w:themeColor="text1" w:themeTint="F2"/>
          <w:sz w:val="22"/>
        </w:rPr>
        <w:t>#ProLighting #IntegratedSystems</w:t>
      </w:r>
    </w:p>
    <w:p w14:paraId="6CB4DBBA" w14:textId="77777777" w:rsidR="00071B90" w:rsidRPr="00EF1FCD" w:rsidRDefault="00071B90" w:rsidP="004330C6">
      <w:pPr>
        <w:rPr>
          <w:rFonts w:ascii="Calibri" w:hAnsi="Calibri" w:cs="Calibri"/>
          <w:b/>
          <w:sz w:val="22"/>
          <w:szCs w:val="22"/>
        </w:rPr>
      </w:pPr>
    </w:p>
    <w:p w14:paraId="10B8E9AA" w14:textId="77777777" w:rsidR="00261B04" w:rsidRPr="00C50F6F" w:rsidRDefault="00261B04" w:rsidP="00261B04">
      <w:pPr>
        <w:rPr>
          <w:rFonts w:ascii="Calibri" w:hAnsi="Calibri" w:cs="Calibri"/>
          <w:b/>
          <w:sz w:val="22"/>
          <w:szCs w:val="22"/>
        </w:rPr>
      </w:pPr>
      <w:r>
        <w:rPr>
          <w:rFonts w:ascii="Calibri" w:hAnsi="Calibri"/>
          <w:b/>
          <w:sz w:val="22"/>
        </w:rPr>
        <w:t>Pour plus d’informations :</w:t>
      </w:r>
    </w:p>
    <w:p w14:paraId="20E8E1E5" w14:textId="07807AC9" w:rsidR="00261B04" w:rsidRPr="00C50F6F" w:rsidRDefault="00000000" w:rsidP="00261B04">
      <w:pPr>
        <w:rPr>
          <w:rFonts w:ascii="Calibri" w:eastAsia="Arial" w:hAnsi="Calibri" w:cs="Calibri"/>
          <w:bCs/>
          <w:sz w:val="22"/>
          <w:szCs w:val="22"/>
        </w:rPr>
      </w:pPr>
      <w:hyperlink r:id="rId10" w:history="1">
        <w:r w:rsidR="009A6C47">
          <w:rPr>
            <w:rStyle w:val="Hyperlink"/>
            <w:rFonts w:ascii="Calibri" w:hAnsi="Calibri"/>
            <w:sz w:val="22"/>
          </w:rPr>
          <w:t>cameolight.com</w:t>
        </w:r>
      </w:hyperlink>
      <w:r w:rsidR="00261B04" w:rsidRPr="00C50F6F">
        <w:rPr>
          <w:rFonts w:ascii="Calibri" w:hAnsi="Calibri"/>
          <w:bCs/>
          <w:sz w:val="22"/>
          <w:szCs w:val="22"/>
        </w:rPr>
        <w:br/>
      </w:r>
      <w:hyperlink r:id="rId11" w:history="1">
        <w:r w:rsidR="009A6C47">
          <w:rPr>
            <w:rStyle w:val="Hyperlink"/>
            <w:rFonts w:ascii="Calibri" w:hAnsi="Calibri"/>
            <w:sz w:val="22"/>
          </w:rPr>
          <w:t>adamhall.com</w:t>
        </w:r>
      </w:hyperlink>
      <w:r w:rsidR="00261B04" w:rsidRPr="00C50F6F">
        <w:rPr>
          <w:rFonts w:ascii="Calibri" w:hAnsi="Calibri"/>
          <w:sz w:val="22"/>
          <w:szCs w:val="22"/>
          <w:u w:val="single"/>
        </w:rPr>
        <w:br/>
      </w:r>
      <w:hyperlink r:id="rId12" w:history="1">
        <w:r w:rsidR="009A6C47">
          <w:rPr>
            <w:rStyle w:val="Hyperlink"/>
            <w:rFonts w:ascii="Calibri" w:hAnsi="Calibri"/>
            <w:sz w:val="22"/>
          </w:rPr>
          <w:t>blog.adamhall.com</w:t>
        </w:r>
      </w:hyperlink>
    </w:p>
    <w:p w14:paraId="212EDE71" w14:textId="77777777" w:rsidR="00261B04" w:rsidRPr="00C50F6F" w:rsidRDefault="00261B04" w:rsidP="00261B04">
      <w:pPr>
        <w:pStyle w:val="KeinLeerraum"/>
        <w:rPr>
          <w:rFonts w:ascii="Calibri" w:hAnsi="Calibri"/>
          <w:b/>
          <w:color w:val="808080"/>
          <w:sz w:val="18"/>
        </w:rPr>
      </w:pPr>
    </w:p>
    <w:p w14:paraId="1E185D22" w14:textId="77777777" w:rsidR="00261B04" w:rsidRPr="00C50F6F" w:rsidRDefault="00261B04" w:rsidP="00261B04">
      <w:pPr>
        <w:pStyle w:val="KeinLeerraum"/>
        <w:rPr>
          <w:rFonts w:ascii="Calibri" w:hAnsi="Calibri"/>
          <w:b/>
          <w:color w:val="808080"/>
          <w:sz w:val="18"/>
        </w:rPr>
      </w:pPr>
    </w:p>
    <w:p w14:paraId="27B9B127" w14:textId="77777777" w:rsidR="00261B04" w:rsidRPr="00DC3A7A" w:rsidRDefault="00261B04" w:rsidP="00261B04">
      <w:pPr>
        <w:autoSpaceDE w:val="0"/>
        <w:autoSpaceDN w:val="0"/>
        <w:adjustRightInd w:val="0"/>
        <w:rPr>
          <w:rFonts w:ascii="AppleSystemUIFont" w:eastAsiaTheme="minorHAnsi" w:hAnsi="AppleSystemUIFont" w:cs="AppleSystemUIFont"/>
          <w:b/>
          <w:bCs/>
          <w:sz w:val="18"/>
          <w:szCs w:val="18"/>
        </w:rPr>
      </w:pPr>
      <w:r>
        <w:rPr>
          <w:rFonts w:ascii="AppleSystemUIFont" w:hAnsi="AppleSystemUIFont"/>
          <w:b/>
          <w:sz w:val="18"/>
        </w:rPr>
        <w:t>Adam Hall Group</w:t>
      </w:r>
    </w:p>
    <w:p w14:paraId="19CDE9CE" w14:textId="77777777" w:rsidR="00261B04" w:rsidRPr="00DC3A7A"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Fondé en 1975, Adam Hall Group est un fabricant et distributeur allemand innovant riche d’une longue et prestigieuse tradition dans le domaine de la technologie de location et de l’événementiel. Sous les marques LD Systems®, Cameo®, Gravity®, Defender®, Palmer® et Adam Hall®, l’entreprise propose une large gamme de technologies de sonorisation et d’éclairage professionnelles, ainsi que des équipements de scène et du matériel flight-case. En particulier, les solutions pour la technologie de sonorisation et d’éclairage ont stimulé le développement du nouveau secteur d’activité Adam Hall Integrated Systems : un segment qui se concentre sur la conception et le développement de solutions compétitives de haute qualité pour la sonorisation, l’éclairage et la gestion de système à destination des clients professionnels de l’audiovisuel dans le monde entier. En accordant toujours la priorité à </w:t>
      </w:r>
      <w:r>
        <w:rPr>
          <w:rFonts w:ascii="AppleSystemUIFont" w:hAnsi="AppleSystemUIFont"/>
          <w:sz w:val="18"/>
        </w:rPr>
        <w:lastRenderedPageBreak/>
        <w:t>la facilité d’utilisation et à un haut niveau de service, nous concevons des produits pour les designers, les installateurs et les ingénieurs qui travaillent sur les marchés HORECA, dans le commerce de détail, dans les salles de conférence, les institutions éducatives, les espaces publics et les salles de spectacle. Nous distribuons dans plus de 90 pays à travers le monde. Nous mettons l’accent sur l’orientation client ainsi que sur le développement durable, et avons reçu plusieurs prix prestigieux pour la conception de nos produits et services, dont plusieurs Red Dot® Design Awards.</w:t>
      </w:r>
    </w:p>
    <w:p w14:paraId="0B8F4600" w14:textId="77777777" w:rsidR="00261B04" w:rsidRPr="00DC3A7A" w:rsidRDefault="00261B04" w:rsidP="00261B04">
      <w:pPr>
        <w:autoSpaceDE w:val="0"/>
        <w:autoSpaceDN w:val="0"/>
        <w:adjustRightInd w:val="0"/>
        <w:rPr>
          <w:rFonts w:ascii="AppleSystemUIFont" w:eastAsiaTheme="minorHAnsi" w:hAnsi="AppleSystemUIFont" w:cs="AppleSystemUIFont"/>
          <w:sz w:val="18"/>
          <w:szCs w:val="18"/>
        </w:rPr>
      </w:pPr>
    </w:p>
    <w:p w14:paraId="435413F0" w14:textId="74320848" w:rsidR="004D6A05" w:rsidRPr="00DC3A7A"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Pour plus d’informations sur Adam Hall Group et la division Adam Hall Integrated Systems, consultez </w:t>
      </w:r>
      <w:hyperlink r:id="rId13" w:history="1">
        <w:r>
          <w:rPr>
            <w:rStyle w:val="Hyperlink"/>
            <w:rFonts w:ascii="AppleSystemUIFont" w:hAnsi="AppleSystemUIFont"/>
            <w:sz w:val="18"/>
          </w:rPr>
          <w:t>adamhall.com</w:t>
        </w:r>
      </w:hyperlink>
      <w:r>
        <w:rPr>
          <w:rFonts w:ascii="AppleSystemUIFont" w:hAnsi="AppleSystemUIFont"/>
          <w:sz w:val="18"/>
        </w:rPr>
        <w:t xml:space="preserve"> ou appelez l’assistance du service B2B au +49 6081 9419 300.</w:t>
      </w:r>
    </w:p>
    <w:sectPr w:rsidR="004D6A05" w:rsidRPr="00DC3A7A" w:rsidSect="00245F20">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24472" w14:textId="77777777" w:rsidR="00025918" w:rsidRDefault="00025918" w:rsidP="004330C6">
      <w:r>
        <w:separator/>
      </w:r>
    </w:p>
  </w:endnote>
  <w:endnote w:type="continuationSeparator" w:id="0">
    <w:p w14:paraId="1E483887" w14:textId="77777777" w:rsidR="00025918" w:rsidRDefault="00025918" w:rsidP="004330C6">
      <w:r>
        <w:continuationSeparator/>
      </w:r>
    </w:p>
  </w:endnote>
  <w:endnote w:type="continuationNotice" w:id="1">
    <w:p w14:paraId="3AB63FA2" w14:textId="77777777" w:rsidR="00025918" w:rsidRDefault="00025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025918">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FD8B1" w14:textId="77777777" w:rsidR="00025918" w:rsidRDefault="00025918" w:rsidP="004330C6">
      <w:r>
        <w:separator/>
      </w:r>
    </w:p>
  </w:footnote>
  <w:footnote w:type="continuationSeparator" w:id="0">
    <w:p w14:paraId="2F3BF831" w14:textId="77777777" w:rsidR="00025918" w:rsidRDefault="00025918" w:rsidP="004330C6">
      <w:r>
        <w:continuationSeparator/>
      </w:r>
    </w:p>
  </w:footnote>
  <w:footnote w:type="continuationNotice" w:id="1">
    <w:p w14:paraId="51DE2D8E" w14:textId="77777777" w:rsidR="00025918" w:rsidRDefault="000259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rPr>
      <w:drawing>
        <wp:inline distT="0" distB="0" distL="0" distR="0" wp14:anchorId="57ED5E53" wp14:editId="484880C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0E25"/>
    <w:multiLevelType w:val="multilevel"/>
    <w:tmpl w:val="BC886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5"/>
  </w:num>
  <w:num w:numId="3" w16cid:durableId="606930685">
    <w:abstractNumId w:val="10"/>
  </w:num>
  <w:num w:numId="4" w16cid:durableId="1003583855">
    <w:abstractNumId w:val="17"/>
  </w:num>
  <w:num w:numId="5" w16cid:durableId="16278382">
    <w:abstractNumId w:val="7"/>
  </w:num>
  <w:num w:numId="6" w16cid:durableId="215052341">
    <w:abstractNumId w:val="8"/>
  </w:num>
  <w:num w:numId="7" w16cid:durableId="1588267322">
    <w:abstractNumId w:val="20"/>
  </w:num>
  <w:num w:numId="8" w16cid:durableId="1668633129">
    <w:abstractNumId w:val="9"/>
  </w:num>
  <w:num w:numId="9" w16cid:durableId="1381710875">
    <w:abstractNumId w:val="19"/>
  </w:num>
  <w:num w:numId="10" w16cid:durableId="2034452127">
    <w:abstractNumId w:val="4"/>
  </w:num>
  <w:num w:numId="11" w16cid:durableId="1629163748">
    <w:abstractNumId w:val="16"/>
  </w:num>
  <w:num w:numId="12" w16cid:durableId="221796209">
    <w:abstractNumId w:val="12"/>
  </w:num>
  <w:num w:numId="13" w16cid:durableId="169108272">
    <w:abstractNumId w:val="21"/>
  </w:num>
  <w:num w:numId="14" w16cid:durableId="1320780">
    <w:abstractNumId w:val="0"/>
  </w:num>
  <w:num w:numId="15" w16cid:durableId="1589266364">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1"/>
  </w:num>
  <w:num w:numId="17" w16cid:durableId="1647468091">
    <w:abstractNumId w:val="3"/>
  </w:num>
  <w:num w:numId="18" w16cid:durableId="342629912">
    <w:abstractNumId w:val="2"/>
  </w:num>
  <w:num w:numId="19" w16cid:durableId="2125076634">
    <w:abstractNumId w:val="5"/>
  </w:num>
  <w:num w:numId="20" w16cid:durableId="1665278092">
    <w:abstractNumId w:val="18"/>
  </w:num>
  <w:num w:numId="21" w16cid:durableId="1300381007">
    <w:abstractNumId w:val="14"/>
  </w:num>
  <w:num w:numId="22" w16cid:durableId="364019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47DC"/>
    <w:rsid w:val="00016A96"/>
    <w:rsid w:val="0002119C"/>
    <w:rsid w:val="00021D23"/>
    <w:rsid w:val="000237B4"/>
    <w:rsid w:val="00023886"/>
    <w:rsid w:val="00025918"/>
    <w:rsid w:val="00025C61"/>
    <w:rsid w:val="00026BBE"/>
    <w:rsid w:val="000310C8"/>
    <w:rsid w:val="00031E80"/>
    <w:rsid w:val="00033981"/>
    <w:rsid w:val="00042DFF"/>
    <w:rsid w:val="000466D9"/>
    <w:rsid w:val="00046C12"/>
    <w:rsid w:val="000619FA"/>
    <w:rsid w:val="00065343"/>
    <w:rsid w:val="00071B90"/>
    <w:rsid w:val="00072E19"/>
    <w:rsid w:val="00072F4C"/>
    <w:rsid w:val="00073824"/>
    <w:rsid w:val="00076E54"/>
    <w:rsid w:val="000818EA"/>
    <w:rsid w:val="00084FC4"/>
    <w:rsid w:val="000857C6"/>
    <w:rsid w:val="00085BC4"/>
    <w:rsid w:val="00086C2C"/>
    <w:rsid w:val="00087094"/>
    <w:rsid w:val="00092E57"/>
    <w:rsid w:val="00093AB0"/>
    <w:rsid w:val="00093B1E"/>
    <w:rsid w:val="00094AE6"/>
    <w:rsid w:val="00097FC3"/>
    <w:rsid w:val="000A2210"/>
    <w:rsid w:val="000A5344"/>
    <w:rsid w:val="000A5712"/>
    <w:rsid w:val="000A7A25"/>
    <w:rsid w:val="000B0857"/>
    <w:rsid w:val="000B6D57"/>
    <w:rsid w:val="000C154F"/>
    <w:rsid w:val="000C1C6F"/>
    <w:rsid w:val="000C27E2"/>
    <w:rsid w:val="000C2D39"/>
    <w:rsid w:val="000C5BAB"/>
    <w:rsid w:val="000C6A86"/>
    <w:rsid w:val="000C6D4C"/>
    <w:rsid w:val="000C787D"/>
    <w:rsid w:val="000C79A0"/>
    <w:rsid w:val="000C79AD"/>
    <w:rsid w:val="000D3A5C"/>
    <w:rsid w:val="000D7E73"/>
    <w:rsid w:val="000E1872"/>
    <w:rsid w:val="000E3EBF"/>
    <w:rsid w:val="000E5E4D"/>
    <w:rsid w:val="000E673F"/>
    <w:rsid w:val="000F0F21"/>
    <w:rsid w:val="000F1A06"/>
    <w:rsid w:val="000F2DEC"/>
    <w:rsid w:val="000F4D9B"/>
    <w:rsid w:val="00101A3F"/>
    <w:rsid w:val="00103362"/>
    <w:rsid w:val="00106C50"/>
    <w:rsid w:val="00106F2E"/>
    <w:rsid w:val="00107AFF"/>
    <w:rsid w:val="00111329"/>
    <w:rsid w:val="00113043"/>
    <w:rsid w:val="00114029"/>
    <w:rsid w:val="00116E29"/>
    <w:rsid w:val="00117B88"/>
    <w:rsid w:val="00120265"/>
    <w:rsid w:val="00122D92"/>
    <w:rsid w:val="00124F49"/>
    <w:rsid w:val="00126953"/>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5759E"/>
    <w:rsid w:val="0016195F"/>
    <w:rsid w:val="001639A0"/>
    <w:rsid w:val="00164685"/>
    <w:rsid w:val="00165F37"/>
    <w:rsid w:val="001710E6"/>
    <w:rsid w:val="00175DBD"/>
    <w:rsid w:val="001805EE"/>
    <w:rsid w:val="00182D08"/>
    <w:rsid w:val="00182E91"/>
    <w:rsid w:val="00184D8B"/>
    <w:rsid w:val="001905C4"/>
    <w:rsid w:val="00190662"/>
    <w:rsid w:val="00192E69"/>
    <w:rsid w:val="00194298"/>
    <w:rsid w:val="001956C4"/>
    <w:rsid w:val="00197104"/>
    <w:rsid w:val="00197BE9"/>
    <w:rsid w:val="001A0027"/>
    <w:rsid w:val="001A073B"/>
    <w:rsid w:val="001A0CD2"/>
    <w:rsid w:val="001A1584"/>
    <w:rsid w:val="001A4A62"/>
    <w:rsid w:val="001A6CB9"/>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7525"/>
    <w:rsid w:val="00210A34"/>
    <w:rsid w:val="00211528"/>
    <w:rsid w:val="00215123"/>
    <w:rsid w:val="002171CF"/>
    <w:rsid w:val="002176EA"/>
    <w:rsid w:val="002209E2"/>
    <w:rsid w:val="00224636"/>
    <w:rsid w:val="002255AA"/>
    <w:rsid w:val="00225884"/>
    <w:rsid w:val="00226FB4"/>
    <w:rsid w:val="0023005D"/>
    <w:rsid w:val="0023162A"/>
    <w:rsid w:val="002346A4"/>
    <w:rsid w:val="00234BD7"/>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70A6"/>
    <w:rsid w:val="00270C10"/>
    <w:rsid w:val="00270E73"/>
    <w:rsid w:val="00272C87"/>
    <w:rsid w:val="0027394B"/>
    <w:rsid w:val="00281242"/>
    <w:rsid w:val="00283958"/>
    <w:rsid w:val="00285810"/>
    <w:rsid w:val="0029122E"/>
    <w:rsid w:val="002954C4"/>
    <w:rsid w:val="002956B9"/>
    <w:rsid w:val="002960A4"/>
    <w:rsid w:val="00296586"/>
    <w:rsid w:val="00296AEA"/>
    <w:rsid w:val="002A231C"/>
    <w:rsid w:val="002A3CDC"/>
    <w:rsid w:val="002A4942"/>
    <w:rsid w:val="002A4CB3"/>
    <w:rsid w:val="002A4CC0"/>
    <w:rsid w:val="002A6B90"/>
    <w:rsid w:val="002A71BC"/>
    <w:rsid w:val="002B2157"/>
    <w:rsid w:val="002B49DF"/>
    <w:rsid w:val="002B520A"/>
    <w:rsid w:val="002C10A6"/>
    <w:rsid w:val="002C32D6"/>
    <w:rsid w:val="002C38B9"/>
    <w:rsid w:val="002C64C0"/>
    <w:rsid w:val="002C67E9"/>
    <w:rsid w:val="002D3AB9"/>
    <w:rsid w:val="002D3D0F"/>
    <w:rsid w:val="002D3E93"/>
    <w:rsid w:val="002D3FFD"/>
    <w:rsid w:val="002D4A1E"/>
    <w:rsid w:val="002D601D"/>
    <w:rsid w:val="002E34A7"/>
    <w:rsid w:val="002E497E"/>
    <w:rsid w:val="002F20E1"/>
    <w:rsid w:val="002F3208"/>
    <w:rsid w:val="002F3B2B"/>
    <w:rsid w:val="002F60FD"/>
    <w:rsid w:val="002F77A1"/>
    <w:rsid w:val="00302508"/>
    <w:rsid w:val="003067CC"/>
    <w:rsid w:val="00311FA5"/>
    <w:rsid w:val="0031213E"/>
    <w:rsid w:val="003166F2"/>
    <w:rsid w:val="00317208"/>
    <w:rsid w:val="003206A9"/>
    <w:rsid w:val="00320BB7"/>
    <w:rsid w:val="003254DC"/>
    <w:rsid w:val="00326928"/>
    <w:rsid w:val="00330026"/>
    <w:rsid w:val="00331396"/>
    <w:rsid w:val="00331C69"/>
    <w:rsid w:val="0034015D"/>
    <w:rsid w:val="00340CFE"/>
    <w:rsid w:val="00340FD4"/>
    <w:rsid w:val="00341117"/>
    <w:rsid w:val="003416F0"/>
    <w:rsid w:val="00341755"/>
    <w:rsid w:val="003420A2"/>
    <w:rsid w:val="00342F94"/>
    <w:rsid w:val="003458A7"/>
    <w:rsid w:val="003520A7"/>
    <w:rsid w:val="003524DE"/>
    <w:rsid w:val="00353521"/>
    <w:rsid w:val="00354546"/>
    <w:rsid w:val="00354EDD"/>
    <w:rsid w:val="00355FB1"/>
    <w:rsid w:val="00356045"/>
    <w:rsid w:val="00357B4D"/>
    <w:rsid w:val="00361098"/>
    <w:rsid w:val="0036129A"/>
    <w:rsid w:val="00362474"/>
    <w:rsid w:val="00362C61"/>
    <w:rsid w:val="00365E22"/>
    <w:rsid w:val="003716B9"/>
    <w:rsid w:val="00371E2F"/>
    <w:rsid w:val="00372B93"/>
    <w:rsid w:val="0037330B"/>
    <w:rsid w:val="0037374E"/>
    <w:rsid w:val="0037421A"/>
    <w:rsid w:val="00375C6C"/>
    <w:rsid w:val="003764B2"/>
    <w:rsid w:val="003778AC"/>
    <w:rsid w:val="003817D3"/>
    <w:rsid w:val="0038195E"/>
    <w:rsid w:val="003834DC"/>
    <w:rsid w:val="003835DD"/>
    <w:rsid w:val="00383FE3"/>
    <w:rsid w:val="003851BE"/>
    <w:rsid w:val="003864D6"/>
    <w:rsid w:val="003865DF"/>
    <w:rsid w:val="003878DA"/>
    <w:rsid w:val="00387F10"/>
    <w:rsid w:val="00391088"/>
    <w:rsid w:val="00391FEB"/>
    <w:rsid w:val="003920A4"/>
    <w:rsid w:val="00393724"/>
    <w:rsid w:val="00397AE1"/>
    <w:rsid w:val="003A108D"/>
    <w:rsid w:val="003A4344"/>
    <w:rsid w:val="003A439A"/>
    <w:rsid w:val="003A7071"/>
    <w:rsid w:val="003B03D0"/>
    <w:rsid w:val="003B0849"/>
    <w:rsid w:val="003B0E87"/>
    <w:rsid w:val="003B39E1"/>
    <w:rsid w:val="003B3E5D"/>
    <w:rsid w:val="003B5FD5"/>
    <w:rsid w:val="003B7D3C"/>
    <w:rsid w:val="003C3F56"/>
    <w:rsid w:val="003C7650"/>
    <w:rsid w:val="003D0876"/>
    <w:rsid w:val="003D08B8"/>
    <w:rsid w:val="003D0E73"/>
    <w:rsid w:val="003D3FE4"/>
    <w:rsid w:val="003E4B2D"/>
    <w:rsid w:val="003E5409"/>
    <w:rsid w:val="003E7E0B"/>
    <w:rsid w:val="003F2E82"/>
    <w:rsid w:val="003F38DE"/>
    <w:rsid w:val="003F40DF"/>
    <w:rsid w:val="003F6959"/>
    <w:rsid w:val="004037C1"/>
    <w:rsid w:val="004059DC"/>
    <w:rsid w:val="00411C01"/>
    <w:rsid w:val="00412079"/>
    <w:rsid w:val="00415C69"/>
    <w:rsid w:val="004173E9"/>
    <w:rsid w:val="004175B6"/>
    <w:rsid w:val="0042095F"/>
    <w:rsid w:val="00422766"/>
    <w:rsid w:val="00423793"/>
    <w:rsid w:val="004244A9"/>
    <w:rsid w:val="00425DAE"/>
    <w:rsid w:val="004273BC"/>
    <w:rsid w:val="004319BB"/>
    <w:rsid w:val="00432C94"/>
    <w:rsid w:val="004330C6"/>
    <w:rsid w:val="00435CF4"/>
    <w:rsid w:val="004360A7"/>
    <w:rsid w:val="004370E1"/>
    <w:rsid w:val="0043733D"/>
    <w:rsid w:val="00445DF3"/>
    <w:rsid w:val="00446E02"/>
    <w:rsid w:val="00450F26"/>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93C0A"/>
    <w:rsid w:val="0049442A"/>
    <w:rsid w:val="004968EC"/>
    <w:rsid w:val="004A1002"/>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193B"/>
    <w:rsid w:val="00573615"/>
    <w:rsid w:val="005740BF"/>
    <w:rsid w:val="005744F5"/>
    <w:rsid w:val="00576210"/>
    <w:rsid w:val="0057690B"/>
    <w:rsid w:val="00576BC9"/>
    <w:rsid w:val="005840F6"/>
    <w:rsid w:val="0059136A"/>
    <w:rsid w:val="00592444"/>
    <w:rsid w:val="00593F8E"/>
    <w:rsid w:val="005A029F"/>
    <w:rsid w:val="005A1A62"/>
    <w:rsid w:val="005A1ACC"/>
    <w:rsid w:val="005A1E45"/>
    <w:rsid w:val="005A68F6"/>
    <w:rsid w:val="005B38F8"/>
    <w:rsid w:val="005B40BC"/>
    <w:rsid w:val="005B49DD"/>
    <w:rsid w:val="005B7BB6"/>
    <w:rsid w:val="005C09DC"/>
    <w:rsid w:val="005C3632"/>
    <w:rsid w:val="005C3B7F"/>
    <w:rsid w:val="005C4A93"/>
    <w:rsid w:val="005C65C5"/>
    <w:rsid w:val="005D004D"/>
    <w:rsid w:val="005D2A25"/>
    <w:rsid w:val="005D45A1"/>
    <w:rsid w:val="005D4D95"/>
    <w:rsid w:val="005D4E2E"/>
    <w:rsid w:val="005E7169"/>
    <w:rsid w:val="005E7263"/>
    <w:rsid w:val="005F2899"/>
    <w:rsid w:val="005F2FA3"/>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35B71"/>
    <w:rsid w:val="006375E1"/>
    <w:rsid w:val="00640BCD"/>
    <w:rsid w:val="00641372"/>
    <w:rsid w:val="00645254"/>
    <w:rsid w:val="00645AA1"/>
    <w:rsid w:val="006504D8"/>
    <w:rsid w:val="00652A61"/>
    <w:rsid w:val="006534BD"/>
    <w:rsid w:val="00653B7A"/>
    <w:rsid w:val="006613C8"/>
    <w:rsid w:val="00667291"/>
    <w:rsid w:val="0067131C"/>
    <w:rsid w:val="00671D60"/>
    <w:rsid w:val="006777DC"/>
    <w:rsid w:val="006811A8"/>
    <w:rsid w:val="00681A06"/>
    <w:rsid w:val="00683F82"/>
    <w:rsid w:val="0068440C"/>
    <w:rsid w:val="00691110"/>
    <w:rsid w:val="0069281C"/>
    <w:rsid w:val="006932A2"/>
    <w:rsid w:val="00695E19"/>
    <w:rsid w:val="006A2793"/>
    <w:rsid w:val="006A3D41"/>
    <w:rsid w:val="006A4552"/>
    <w:rsid w:val="006A4686"/>
    <w:rsid w:val="006B4758"/>
    <w:rsid w:val="006B4C14"/>
    <w:rsid w:val="006B4DD2"/>
    <w:rsid w:val="006B763C"/>
    <w:rsid w:val="006B7A3B"/>
    <w:rsid w:val="006C2799"/>
    <w:rsid w:val="006C45CF"/>
    <w:rsid w:val="006C6659"/>
    <w:rsid w:val="006D2E7A"/>
    <w:rsid w:val="006E2CFE"/>
    <w:rsid w:val="006E3C80"/>
    <w:rsid w:val="006E4981"/>
    <w:rsid w:val="006E651F"/>
    <w:rsid w:val="006E767C"/>
    <w:rsid w:val="006F021D"/>
    <w:rsid w:val="006F21AE"/>
    <w:rsid w:val="006F4CC4"/>
    <w:rsid w:val="006F4FEB"/>
    <w:rsid w:val="006F6042"/>
    <w:rsid w:val="006F7A48"/>
    <w:rsid w:val="007009A4"/>
    <w:rsid w:val="00700A7A"/>
    <w:rsid w:val="00700CFB"/>
    <w:rsid w:val="0070565E"/>
    <w:rsid w:val="0070652F"/>
    <w:rsid w:val="00711806"/>
    <w:rsid w:val="007153F5"/>
    <w:rsid w:val="00715C0A"/>
    <w:rsid w:val="00715EE7"/>
    <w:rsid w:val="00716A8B"/>
    <w:rsid w:val="007201F8"/>
    <w:rsid w:val="00720969"/>
    <w:rsid w:val="00721C7D"/>
    <w:rsid w:val="0072231E"/>
    <w:rsid w:val="00722692"/>
    <w:rsid w:val="00723BDD"/>
    <w:rsid w:val="00727E4C"/>
    <w:rsid w:val="007310CF"/>
    <w:rsid w:val="00732798"/>
    <w:rsid w:val="00733A9F"/>
    <w:rsid w:val="00735620"/>
    <w:rsid w:val="007367D3"/>
    <w:rsid w:val="00740110"/>
    <w:rsid w:val="00745291"/>
    <w:rsid w:val="007470A9"/>
    <w:rsid w:val="00750249"/>
    <w:rsid w:val="00750549"/>
    <w:rsid w:val="00751FD6"/>
    <w:rsid w:val="00755F52"/>
    <w:rsid w:val="00756F12"/>
    <w:rsid w:val="00760021"/>
    <w:rsid w:val="00761A74"/>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78A6"/>
    <w:rsid w:val="007934A4"/>
    <w:rsid w:val="0079422C"/>
    <w:rsid w:val="00794BD0"/>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1EB8"/>
    <w:rsid w:val="00822DA3"/>
    <w:rsid w:val="008248A6"/>
    <w:rsid w:val="00824AB7"/>
    <w:rsid w:val="00827678"/>
    <w:rsid w:val="00827FBE"/>
    <w:rsid w:val="00831D2E"/>
    <w:rsid w:val="00833CB4"/>
    <w:rsid w:val="00840293"/>
    <w:rsid w:val="00845F75"/>
    <w:rsid w:val="008474CD"/>
    <w:rsid w:val="00852DA5"/>
    <w:rsid w:val="00853045"/>
    <w:rsid w:val="00853BC1"/>
    <w:rsid w:val="00856D6E"/>
    <w:rsid w:val="008606C1"/>
    <w:rsid w:val="00861386"/>
    <w:rsid w:val="00862FC4"/>
    <w:rsid w:val="008635C3"/>
    <w:rsid w:val="00863EAD"/>
    <w:rsid w:val="0086423D"/>
    <w:rsid w:val="00872F41"/>
    <w:rsid w:val="008743FF"/>
    <w:rsid w:val="008837B2"/>
    <w:rsid w:val="008872BA"/>
    <w:rsid w:val="00887DDB"/>
    <w:rsid w:val="0089623F"/>
    <w:rsid w:val="008A00A8"/>
    <w:rsid w:val="008A0CC1"/>
    <w:rsid w:val="008A3164"/>
    <w:rsid w:val="008A4DB5"/>
    <w:rsid w:val="008C08B8"/>
    <w:rsid w:val="008C12E9"/>
    <w:rsid w:val="008C4A8C"/>
    <w:rsid w:val="008C5A92"/>
    <w:rsid w:val="008C6DF7"/>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4680"/>
    <w:rsid w:val="008F5236"/>
    <w:rsid w:val="008F6FFC"/>
    <w:rsid w:val="00900593"/>
    <w:rsid w:val="00904362"/>
    <w:rsid w:val="00905794"/>
    <w:rsid w:val="00910A9C"/>
    <w:rsid w:val="009124D8"/>
    <w:rsid w:val="009139FB"/>
    <w:rsid w:val="00913A6C"/>
    <w:rsid w:val="0091412C"/>
    <w:rsid w:val="00914443"/>
    <w:rsid w:val="00914832"/>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430B"/>
    <w:rsid w:val="009643EB"/>
    <w:rsid w:val="009679FD"/>
    <w:rsid w:val="00967CA6"/>
    <w:rsid w:val="00970D9C"/>
    <w:rsid w:val="00972F43"/>
    <w:rsid w:val="0097368B"/>
    <w:rsid w:val="0097600E"/>
    <w:rsid w:val="00977584"/>
    <w:rsid w:val="009778CC"/>
    <w:rsid w:val="00977D9F"/>
    <w:rsid w:val="0098161B"/>
    <w:rsid w:val="00984C15"/>
    <w:rsid w:val="00985EB0"/>
    <w:rsid w:val="00986235"/>
    <w:rsid w:val="00991CAE"/>
    <w:rsid w:val="0099352B"/>
    <w:rsid w:val="00995D7F"/>
    <w:rsid w:val="009A060D"/>
    <w:rsid w:val="009A2A28"/>
    <w:rsid w:val="009A6C47"/>
    <w:rsid w:val="009B256E"/>
    <w:rsid w:val="009B4403"/>
    <w:rsid w:val="009B4941"/>
    <w:rsid w:val="009B56F9"/>
    <w:rsid w:val="009B6B63"/>
    <w:rsid w:val="009B7F41"/>
    <w:rsid w:val="009C2121"/>
    <w:rsid w:val="009C4597"/>
    <w:rsid w:val="009D0E75"/>
    <w:rsid w:val="009D35BA"/>
    <w:rsid w:val="009D68F4"/>
    <w:rsid w:val="009E41F8"/>
    <w:rsid w:val="009E7449"/>
    <w:rsid w:val="009F0541"/>
    <w:rsid w:val="009F0FB4"/>
    <w:rsid w:val="009F1E08"/>
    <w:rsid w:val="009F3971"/>
    <w:rsid w:val="009F5FC7"/>
    <w:rsid w:val="009F650C"/>
    <w:rsid w:val="009F6AD8"/>
    <w:rsid w:val="00A06844"/>
    <w:rsid w:val="00A06CE9"/>
    <w:rsid w:val="00A07409"/>
    <w:rsid w:val="00A07934"/>
    <w:rsid w:val="00A159D2"/>
    <w:rsid w:val="00A16704"/>
    <w:rsid w:val="00A17534"/>
    <w:rsid w:val="00A17E32"/>
    <w:rsid w:val="00A20BD0"/>
    <w:rsid w:val="00A22785"/>
    <w:rsid w:val="00A279E4"/>
    <w:rsid w:val="00A34666"/>
    <w:rsid w:val="00A34A48"/>
    <w:rsid w:val="00A36668"/>
    <w:rsid w:val="00A41BA8"/>
    <w:rsid w:val="00A57955"/>
    <w:rsid w:val="00A57A45"/>
    <w:rsid w:val="00A605A1"/>
    <w:rsid w:val="00A61537"/>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D14DC"/>
    <w:rsid w:val="00AD1E76"/>
    <w:rsid w:val="00AD56FA"/>
    <w:rsid w:val="00AD5721"/>
    <w:rsid w:val="00AE0BCA"/>
    <w:rsid w:val="00AE590B"/>
    <w:rsid w:val="00AF435C"/>
    <w:rsid w:val="00AF5939"/>
    <w:rsid w:val="00AF5B54"/>
    <w:rsid w:val="00AF5DDA"/>
    <w:rsid w:val="00AF613A"/>
    <w:rsid w:val="00AF6F9D"/>
    <w:rsid w:val="00AF722F"/>
    <w:rsid w:val="00B03D25"/>
    <w:rsid w:val="00B046B0"/>
    <w:rsid w:val="00B054C7"/>
    <w:rsid w:val="00B110FD"/>
    <w:rsid w:val="00B14C14"/>
    <w:rsid w:val="00B15D7E"/>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DAC"/>
    <w:rsid w:val="00B76096"/>
    <w:rsid w:val="00B8341B"/>
    <w:rsid w:val="00B91E90"/>
    <w:rsid w:val="00B93A62"/>
    <w:rsid w:val="00B943F0"/>
    <w:rsid w:val="00BA240A"/>
    <w:rsid w:val="00BA5240"/>
    <w:rsid w:val="00BA750F"/>
    <w:rsid w:val="00BA761B"/>
    <w:rsid w:val="00BB0030"/>
    <w:rsid w:val="00BB33D1"/>
    <w:rsid w:val="00BB35C1"/>
    <w:rsid w:val="00BB6DF3"/>
    <w:rsid w:val="00BC09BE"/>
    <w:rsid w:val="00BC2C84"/>
    <w:rsid w:val="00BC417C"/>
    <w:rsid w:val="00BD0A66"/>
    <w:rsid w:val="00BD1732"/>
    <w:rsid w:val="00BD18F0"/>
    <w:rsid w:val="00BE06B0"/>
    <w:rsid w:val="00BE46CC"/>
    <w:rsid w:val="00BE4BCC"/>
    <w:rsid w:val="00BE6961"/>
    <w:rsid w:val="00BF08EA"/>
    <w:rsid w:val="00BF36B3"/>
    <w:rsid w:val="00BF38E8"/>
    <w:rsid w:val="00BF4061"/>
    <w:rsid w:val="00BF49DD"/>
    <w:rsid w:val="00BF658A"/>
    <w:rsid w:val="00BF6A1F"/>
    <w:rsid w:val="00C028A4"/>
    <w:rsid w:val="00C03E6C"/>
    <w:rsid w:val="00C1180C"/>
    <w:rsid w:val="00C13D6C"/>
    <w:rsid w:val="00C15293"/>
    <w:rsid w:val="00C1680C"/>
    <w:rsid w:val="00C1710D"/>
    <w:rsid w:val="00C22730"/>
    <w:rsid w:val="00C25679"/>
    <w:rsid w:val="00C274BB"/>
    <w:rsid w:val="00C3535E"/>
    <w:rsid w:val="00C36F66"/>
    <w:rsid w:val="00C40390"/>
    <w:rsid w:val="00C40FE1"/>
    <w:rsid w:val="00C42900"/>
    <w:rsid w:val="00C432CE"/>
    <w:rsid w:val="00C4796C"/>
    <w:rsid w:val="00C47DE7"/>
    <w:rsid w:val="00C47ED6"/>
    <w:rsid w:val="00C5006E"/>
    <w:rsid w:val="00C50F6F"/>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7F18"/>
    <w:rsid w:val="00CE06AB"/>
    <w:rsid w:val="00CE09E8"/>
    <w:rsid w:val="00CE0FF9"/>
    <w:rsid w:val="00CE1103"/>
    <w:rsid w:val="00CE5003"/>
    <w:rsid w:val="00CE6616"/>
    <w:rsid w:val="00D00355"/>
    <w:rsid w:val="00D04765"/>
    <w:rsid w:val="00D068CD"/>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67F5"/>
    <w:rsid w:val="00D87DE6"/>
    <w:rsid w:val="00D909FA"/>
    <w:rsid w:val="00D915C1"/>
    <w:rsid w:val="00D92D46"/>
    <w:rsid w:val="00DA223F"/>
    <w:rsid w:val="00DA2287"/>
    <w:rsid w:val="00DA243C"/>
    <w:rsid w:val="00DB005C"/>
    <w:rsid w:val="00DB37E7"/>
    <w:rsid w:val="00DB55D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3C13"/>
    <w:rsid w:val="00E04ADB"/>
    <w:rsid w:val="00E05923"/>
    <w:rsid w:val="00E06A56"/>
    <w:rsid w:val="00E06E53"/>
    <w:rsid w:val="00E1081B"/>
    <w:rsid w:val="00E10C1A"/>
    <w:rsid w:val="00E15D0A"/>
    <w:rsid w:val="00E1626C"/>
    <w:rsid w:val="00E169CD"/>
    <w:rsid w:val="00E23EE4"/>
    <w:rsid w:val="00E24D88"/>
    <w:rsid w:val="00E2623A"/>
    <w:rsid w:val="00E26EAC"/>
    <w:rsid w:val="00E412F8"/>
    <w:rsid w:val="00E439F2"/>
    <w:rsid w:val="00E4607C"/>
    <w:rsid w:val="00E51577"/>
    <w:rsid w:val="00E52338"/>
    <w:rsid w:val="00E60FA6"/>
    <w:rsid w:val="00E61645"/>
    <w:rsid w:val="00E61A9C"/>
    <w:rsid w:val="00E61F6F"/>
    <w:rsid w:val="00E62592"/>
    <w:rsid w:val="00E62A58"/>
    <w:rsid w:val="00E635F3"/>
    <w:rsid w:val="00E65921"/>
    <w:rsid w:val="00E670E1"/>
    <w:rsid w:val="00E70C96"/>
    <w:rsid w:val="00E72BA6"/>
    <w:rsid w:val="00E74672"/>
    <w:rsid w:val="00E8374C"/>
    <w:rsid w:val="00E85818"/>
    <w:rsid w:val="00E86932"/>
    <w:rsid w:val="00E94C2E"/>
    <w:rsid w:val="00E9699A"/>
    <w:rsid w:val="00EA107B"/>
    <w:rsid w:val="00EA1913"/>
    <w:rsid w:val="00EB4FE9"/>
    <w:rsid w:val="00EB67F1"/>
    <w:rsid w:val="00EC4813"/>
    <w:rsid w:val="00ED09D4"/>
    <w:rsid w:val="00ED3A25"/>
    <w:rsid w:val="00EE0F8A"/>
    <w:rsid w:val="00EE2480"/>
    <w:rsid w:val="00EE2D4B"/>
    <w:rsid w:val="00EE4D4F"/>
    <w:rsid w:val="00EE6C24"/>
    <w:rsid w:val="00EE6EAC"/>
    <w:rsid w:val="00EE70A1"/>
    <w:rsid w:val="00EF1877"/>
    <w:rsid w:val="00EF1FCD"/>
    <w:rsid w:val="00EF2210"/>
    <w:rsid w:val="00EF575D"/>
    <w:rsid w:val="00F00F40"/>
    <w:rsid w:val="00F01B04"/>
    <w:rsid w:val="00F04E5E"/>
    <w:rsid w:val="00F0629C"/>
    <w:rsid w:val="00F10AE8"/>
    <w:rsid w:val="00F1313D"/>
    <w:rsid w:val="00F14855"/>
    <w:rsid w:val="00F15A85"/>
    <w:rsid w:val="00F161EC"/>
    <w:rsid w:val="00F164EA"/>
    <w:rsid w:val="00F17B78"/>
    <w:rsid w:val="00F20FF3"/>
    <w:rsid w:val="00F21E77"/>
    <w:rsid w:val="00F22DE6"/>
    <w:rsid w:val="00F2456A"/>
    <w:rsid w:val="00F258CC"/>
    <w:rsid w:val="00F27082"/>
    <w:rsid w:val="00F2770D"/>
    <w:rsid w:val="00F27C77"/>
    <w:rsid w:val="00F3532F"/>
    <w:rsid w:val="00F363B0"/>
    <w:rsid w:val="00F3754D"/>
    <w:rsid w:val="00F40FC9"/>
    <w:rsid w:val="00F4178D"/>
    <w:rsid w:val="00F445CC"/>
    <w:rsid w:val="00F46090"/>
    <w:rsid w:val="00F5362F"/>
    <w:rsid w:val="00F5575D"/>
    <w:rsid w:val="00F571EF"/>
    <w:rsid w:val="00F61540"/>
    <w:rsid w:val="00F62076"/>
    <w:rsid w:val="00F62431"/>
    <w:rsid w:val="00F63556"/>
    <w:rsid w:val="00F64B0A"/>
    <w:rsid w:val="00F6598B"/>
    <w:rsid w:val="00F6657F"/>
    <w:rsid w:val="00F66FBC"/>
    <w:rsid w:val="00F80043"/>
    <w:rsid w:val="00F82987"/>
    <w:rsid w:val="00F85366"/>
    <w:rsid w:val="00F9119A"/>
    <w:rsid w:val="00FA0750"/>
    <w:rsid w:val="00FA0EA2"/>
    <w:rsid w:val="00FA1B47"/>
    <w:rsid w:val="00FA21A8"/>
    <w:rsid w:val="00FA42C1"/>
    <w:rsid w:val="00FA44D9"/>
    <w:rsid w:val="00FA5790"/>
    <w:rsid w:val="00FA59A8"/>
    <w:rsid w:val="00FB18BA"/>
    <w:rsid w:val="00FB18D3"/>
    <w:rsid w:val="00FB2F96"/>
    <w:rsid w:val="00FB6F2A"/>
    <w:rsid w:val="00FB796E"/>
    <w:rsid w:val="00FC138A"/>
    <w:rsid w:val="00FC2346"/>
    <w:rsid w:val="00FC36FC"/>
    <w:rsid w:val="00FC505E"/>
    <w:rsid w:val="00FC51BC"/>
    <w:rsid w:val="00FC7767"/>
    <w:rsid w:val="00FC7F35"/>
    <w:rsid w:val="00FD4793"/>
    <w:rsid w:val="00FD63AF"/>
    <w:rsid w:val="00FD6830"/>
    <w:rsid w:val="00FE0C86"/>
    <w:rsid w:val="00FE26FE"/>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 w:type="paragraph" w:customStyle="1" w:styleId="ql-indent-1">
    <w:name w:val="ql-indent-1"/>
    <w:basedOn w:val="Standard"/>
    <w:rsid w:val="006844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4332">
      <w:bodyDiv w:val="1"/>
      <w:marLeft w:val="0"/>
      <w:marRight w:val="0"/>
      <w:marTop w:val="0"/>
      <w:marBottom w:val="0"/>
      <w:divBdr>
        <w:top w:val="none" w:sz="0" w:space="0" w:color="auto"/>
        <w:left w:val="none" w:sz="0" w:space="0" w:color="auto"/>
        <w:bottom w:val="none" w:sz="0" w:space="0" w:color="auto"/>
        <w:right w:val="none" w:sz="0" w:space="0" w:color="auto"/>
      </w:divBdr>
    </w:div>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20048647">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ameoligh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2.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421A8263-E233-4ED1-89B0-65CB4FD77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957</Words>
  <Characters>6032</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46</cp:revision>
  <cp:lastPrinted>2019-01-10T17:28:00Z</cp:lastPrinted>
  <dcterms:created xsi:type="dcterms:W3CDTF">2023-12-12T17:45:00Z</dcterms:created>
  <dcterms:modified xsi:type="dcterms:W3CDTF">2025-01-22T09:56:00Z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